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69" w:rsidRPr="001C1C69" w:rsidRDefault="001C1C69" w:rsidP="001C1C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1C1C69">
        <w:rPr>
          <w:rFonts w:ascii="Calibri,Bold" w:hAnsi="Calibri,Bold" w:cs="Calibri,Bold"/>
          <w:b/>
          <w:bCs/>
          <w:sz w:val="28"/>
          <w:szCs w:val="28"/>
        </w:rPr>
        <w:t>Criterion A: Knowledge and Understanding</w:t>
      </w:r>
    </w:p>
    <w:tbl>
      <w:tblPr>
        <w:tblStyle w:val="TableGrid"/>
        <w:tblpPr w:leftFromText="180" w:rightFromText="180" w:vertAnchor="text" w:horzAnchor="margin" w:tblpY="80"/>
        <w:tblW w:w="9738" w:type="dxa"/>
        <w:tblLook w:val="04A0"/>
      </w:tblPr>
      <w:tblGrid>
        <w:gridCol w:w="2808"/>
        <w:gridCol w:w="6930"/>
      </w:tblGrid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b/>
                <w:bCs/>
                <w:sz w:val="28"/>
                <w:szCs w:val="28"/>
              </w:rPr>
              <w:t>Achievement Level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b/>
                <w:bCs/>
                <w:sz w:val="28"/>
                <w:szCs w:val="28"/>
              </w:rPr>
              <w:t>Level Descriptor</w:t>
            </w:r>
          </w:p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0 (50)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The student does not reach a standard described by any of the descriptors below.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1-2 (55)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generally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makes appropriate deductions when solving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simple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problems in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familiar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>contexts.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3-4 (60)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generally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makes appropriate deductions when solving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more complex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problems in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familiar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>contexts.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5-6 (65)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generally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makes appropriate deductions when solving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challenging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problems in a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variety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of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familiar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>contexts.</w:t>
            </w:r>
          </w:p>
        </w:tc>
      </w:tr>
      <w:tr w:rsidR="001C1C69" w:rsidRPr="001C1C69" w:rsidTr="003B6A1C">
        <w:trPr>
          <w:trHeight w:val="341"/>
        </w:trPr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>7-8 (70)</w:t>
            </w:r>
          </w:p>
        </w:tc>
        <w:tc>
          <w:tcPr>
            <w:tcW w:w="6930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consistently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makes appropriate deductions when solving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challenging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problems in a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 xml:space="preserve">variety </w:t>
            </w:r>
            <w:r w:rsidRPr="001C1C69">
              <w:rPr>
                <w:rFonts w:ascii="Helvetica" w:hAnsi="Helvetica" w:cs="Helvetica"/>
                <w:sz w:val="28"/>
                <w:szCs w:val="28"/>
              </w:rPr>
              <w:t xml:space="preserve">of contexts including </w:t>
            </w:r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unfamiliar</w:t>
            </w:r>
          </w:p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8"/>
                <w:szCs w:val="28"/>
              </w:rPr>
            </w:pPr>
            <w:proofErr w:type="gramStart"/>
            <w:r w:rsidRPr="001C1C69">
              <w:rPr>
                <w:rFonts w:ascii="Helvetica-Bold" w:hAnsi="Helvetica-Bold" w:cs="Helvetica-Bold"/>
                <w:b/>
                <w:bCs/>
                <w:sz w:val="28"/>
                <w:szCs w:val="28"/>
              </w:rPr>
              <w:t>situations</w:t>
            </w:r>
            <w:proofErr w:type="gramEnd"/>
            <w:r w:rsidRPr="001C1C69">
              <w:rPr>
                <w:rFonts w:ascii="Helvetica" w:hAnsi="Helvetica" w:cs="Helvetica"/>
                <w:sz w:val="28"/>
                <w:szCs w:val="28"/>
              </w:rPr>
              <w:t>.</w:t>
            </w:r>
          </w:p>
        </w:tc>
      </w:tr>
    </w:tbl>
    <w:p w:rsidR="001C1C69" w:rsidRPr="001C1C69" w:rsidRDefault="001C1C69" w:rsidP="001C1C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1C1C69">
        <w:rPr>
          <w:rFonts w:ascii="Calibri,Bold" w:hAnsi="Calibri,Bold" w:cs="Calibri,Bold"/>
          <w:b/>
          <w:bCs/>
          <w:sz w:val="24"/>
          <w:szCs w:val="24"/>
        </w:rPr>
        <w:t>Criterion D: Reflection in Mathematics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/>
      </w:tblPr>
      <w:tblGrid>
        <w:gridCol w:w="2808"/>
        <w:gridCol w:w="6768"/>
      </w:tblGrid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Achievement Level </w:t>
            </w:r>
          </w:p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676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b/>
                <w:bCs/>
                <w:sz w:val="24"/>
                <w:szCs w:val="24"/>
              </w:rPr>
              <w:t>Level Descriptor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>0 (0)</w:t>
            </w:r>
          </w:p>
        </w:tc>
        <w:tc>
          <w:tcPr>
            <w:tcW w:w="676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>The student does not reach a standard described by any of the descriptors below.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>1-2 (10)</w:t>
            </w:r>
          </w:p>
        </w:tc>
        <w:tc>
          <w:tcPr>
            <w:tcW w:w="676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attempts to explain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whether his or her results make sense in the context of the problem. 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attempts to describe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>the importance of his or her findings in connection to real life where appropriate.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>3-4 (20)</w:t>
            </w:r>
          </w:p>
        </w:tc>
        <w:tc>
          <w:tcPr>
            <w:tcW w:w="676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correctly but briefly explains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whether his or her results make sense in the context of the problem. 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describes the importance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of his or her findings in connection to real life where appropriate. 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attempts to justify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>the degree of accuracy of his or her results where appropriate.</w:t>
            </w:r>
          </w:p>
        </w:tc>
      </w:tr>
      <w:tr w:rsidR="001C1C69" w:rsidRPr="001C1C69" w:rsidTr="003B6A1C">
        <w:tc>
          <w:tcPr>
            <w:tcW w:w="280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cstheme="majorBidi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>5-6 (30)</w:t>
            </w:r>
          </w:p>
          <w:p w:rsidR="001C1C69" w:rsidRPr="001C1C69" w:rsidRDefault="001C1C69" w:rsidP="003B6A1C">
            <w:pPr>
              <w:spacing w:line="360" w:lineRule="auto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6768" w:type="dxa"/>
          </w:tcPr>
          <w:p w:rsidR="001C1C69" w:rsidRPr="001C1C69" w:rsidRDefault="001C1C69" w:rsidP="003B6A1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critically explains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whether his or her results make sense in the context of the problem. The student provides a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detailed explanation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 xml:space="preserve">of the importance of his or her findings in connection to real life where appropriate. The student </w:t>
            </w:r>
            <w:r w:rsidRPr="001C1C69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justifies </w:t>
            </w:r>
            <w:r w:rsidRPr="001C1C69">
              <w:rPr>
                <w:rFonts w:ascii="Helvetica" w:hAnsi="Helvetica" w:cs="Helvetica"/>
                <w:sz w:val="24"/>
                <w:szCs w:val="24"/>
              </w:rPr>
              <w:t>the degree of accuracy of his or her results where appropriate. The student suggests improvements to his or her method where appropriate.</w:t>
            </w:r>
          </w:p>
        </w:tc>
      </w:tr>
    </w:tbl>
    <w:p w:rsidR="001C1C69" w:rsidRDefault="001C1C69" w:rsidP="001C1C69">
      <w:pPr>
        <w:spacing w:line="360" w:lineRule="auto"/>
        <w:rPr>
          <w:rFonts w:cstheme="majorBidi"/>
        </w:rPr>
      </w:pPr>
    </w:p>
    <w:p w:rsidR="001C1C69" w:rsidRPr="00773712" w:rsidRDefault="001C1C69" w:rsidP="001C1C69">
      <w:pPr>
        <w:spacing w:line="360" w:lineRule="auto"/>
        <w:rPr>
          <w:rFonts w:cstheme="majorBidi"/>
          <w:u w:val="single"/>
        </w:rPr>
      </w:pPr>
      <w:r>
        <w:rPr>
          <w:rFonts w:cstheme="majorBidi"/>
        </w:rPr>
        <w:t xml:space="preserve">Name: </w:t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</w:rPr>
        <w:tab/>
      </w:r>
      <w:r>
        <w:rPr>
          <w:rFonts w:cstheme="majorBidi"/>
        </w:rPr>
        <w:tab/>
        <w:t>Score:</w:t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  <w:r>
        <w:rPr>
          <w:rFonts w:cstheme="majorBidi"/>
          <w:u w:val="single"/>
        </w:rPr>
        <w:tab/>
      </w:r>
    </w:p>
    <w:p w:rsidR="001C1C69" w:rsidRDefault="001C1C69"/>
    <w:sectPr w:rsidR="001C1C69" w:rsidSect="001C1C69">
      <w:headerReference w:type="default" r:id="rId6"/>
      <w:pgSz w:w="12240" w:h="15840"/>
      <w:pgMar w:top="1152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C69" w:rsidRDefault="001C1C69" w:rsidP="001C1C69">
      <w:pPr>
        <w:spacing w:after="0" w:line="240" w:lineRule="auto"/>
      </w:pPr>
      <w:r>
        <w:separator/>
      </w:r>
    </w:p>
  </w:endnote>
  <w:endnote w:type="continuationSeparator" w:id="0">
    <w:p w:rsidR="001C1C69" w:rsidRDefault="001C1C69" w:rsidP="001C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C69" w:rsidRDefault="001C1C69" w:rsidP="001C1C69">
      <w:pPr>
        <w:spacing w:after="0" w:line="240" w:lineRule="auto"/>
      </w:pPr>
      <w:r>
        <w:separator/>
      </w:r>
    </w:p>
  </w:footnote>
  <w:footnote w:type="continuationSeparator" w:id="0">
    <w:p w:rsidR="001C1C69" w:rsidRDefault="001C1C69" w:rsidP="001C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69" w:rsidRPr="001C1C69" w:rsidRDefault="001C1C69" w:rsidP="001C1C69">
    <w:pPr>
      <w:autoSpaceDE w:val="0"/>
      <w:autoSpaceDN w:val="0"/>
      <w:adjustRightInd w:val="0"/>
      <w:spacing w:after="0" w:line="240" w:lineRule="auto"/>
      <w:jc w:val="center"/>
      <w:rPr>
        <w:rFonts w:cstheme="majorBidi"/>
        <w:sz w:val="24"/>
        <w:szCs w:val="24"/>
      </w:rPr>
    </w:pPr>
    <w:r w:rsidRPr="001C1C69">
      <w:rPr>
        <w:rFonts w:cstheme="majorBidi"/>
        <w:b/>
        <w:bCs/>
        <w:sz w:val="24"/>
        <w:szCs w:val="24"/>
        <w:u w:val="single"/>
      </w:rPr>
      <w:t>RUBRIC</w:t>
    </w:r>
    <w:r w:rsidRPr="001C1C69">
      <w:rPr>
        <w:rFonts w:cstheme="majorBidi"/>
        <w:sz w:val="24"/>
        <w:szCs w:val="24"/>
      </w:rPr>
      <w:t>:</w:t>
    </w:r>
  </w:p>
  <w:p w:rsidR="001C1C69" w:rsidRDefault="001C1C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C69"/>
    <w:rsid w:val="001C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6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C69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C6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C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C69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2015-01-28T13:37:00Z</dcterms:created>
  <dcterms:modified xsi:type="dcterms:W3CDTF">2015-01-28T13:38:00Z</dcterms:modified>
</cp:coreProperties>
</file>